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6A" w:rsidRPr="00EB326A" w:rsidRDefault="00560458" w:rsidP="00EB326A">
      <w:pPr>
        <w:spacing w:after="0" w:line="240" w:lineRule="auto"/>
        <w:jc w:val="center"/>
        <w:rPr>
          <w:rFonts w:ascii="Arial" w:hAnsi="Arial" w:cs="Arial"/>
          <w:b/>
          <w:sz w:val="24"/>
          <w:szCs w:val="24"/>
        </w:rPr>
      </w:pPr>
      <w:r>
        <w:rPr>
          <w:rFonts w:ascii="Arial" w:hAnsi="Arial" w:cs="Arial"/>
          <w:b/>
          <w:sz w:val="24"/>
          <w:szCs w:val="24"/>
        </w:rPr>
        <w:t>Gender pay gap report 202</w:t>
      </w:r>
      <w:r w:rsidR="00BC39BD">
        <w:rPr>
          <w:rFonts w:ascii="Arial" w:hAnsi="Arial" w:cs="Arial"/>
          <w:b/>
          <w:sz w:val="24"/>
          <w:szCs w:val="24"/>
        </w:rPr>
        <w:t>3</w:t>
      </w:r>
    </w:p>
    <w:p w:rsidR="00EB326A" w:rsidRDefault="00EB326A" w:rsidP="002F34E0">
      <w:pPr>
        <w:spacing w:after="0" w:line="240" w:lineRule="auto"/>
        <w:rPr>
          <w:rFonts w:ascii="Arial" w:hAnsi="Arial" w:cs="Arial"/>
          <w:sz w:val="24"/>
          <w:szCs w:val="24"/>
        </w:rPr>
      </w:pPr>
    </w:p>
    <w:p w:rsidR="00EB326A" w:rsidRDefault="009A15B7" w:rsidP="002F34E0">
      <w:pPr>
        <w:spacing w:after="0" w:line="240" w:lineRule="auto"/>
        <w:rPr>
          <w:rFonts w:ascii="Arial" w:hAnsi="Arial" w:cs="Arial"/>
          <w:sz w:val="24"/>
          <w:szCs w:val="24"/>
        </w:rPr>
      </w:pPr>
      <w:r>
        <w:rPr>
          <w:rFonts w:ascii="Arial" w:hAnsi="Arial" w:cs="Arial"/>
          <w:sz w:val="24"/>
          <w:szCs w:val="24"/>
        </w:rPr>
        <w:t>A</w:t>
      </w:r>
      <w:r w:rsidR="00EB326A">
        <w:rPr>
          <w:rFonts w:ascii="Arial" w:hAnsi="Arial" w:cs="Arial"/>
          <w:sz w:val="24"/>
          <w:szCs w:val="24"/>
        </w:rPr>
        <w:t xml:space="preserve">ll </w:t>
      </w:r>
      <w:proofErr w:type="spellStart"/>
      <w:r w:rsidR="00EB326A">
        <w:rPr>
          <w:rFonts w:ascii="Arial" w:hAnsi="Arial" w:cs="Arial"/>
          <w:sz w:val="24"/>
          <w:szCs w:val="24"/>
        </w:rPr>
        <w:t>organisations</w:t>
      </w:r>
      <w:proofErr w:type="spellEnd"/>
      <w:r w:rsidR="00EB326A">
        <w:rPr>
          <w:rFonts w:ascii="Arial" w:hAnsi="Arial" w:cs="Arial"/>
          <w:sz w:val="24"/>
          <w:szCs w:val="24"/>
        </w:rPr>
        <w:t xml:space="preserve"> with over 250 employees at</w:t>
      </w:r>
      <w:r>
        <w:rPr>
          <w:rFonts w:ascii="Arial" w:hAnsi="Arial" w:cs="Arial"/>
          <w:sz w:val="24"/>
          <w:szCs w:val="24"/>
        </w:rPr>
        <w:t xml:space="preserve"> a pre-determined snapshot date</w:t>
      </w:r>
      <w:r w:rsidR="00EB326A">
        <w:rPr>
          <w:rFonts w:ascii="Arial" w:hAnsi="Arial" w:cs="Arial"/>
          <w:sz w:val="24"/>
          <w:szCs w:val="24"/>
        </w:rPr>
        <w:t xml:space="preserve"> </w:t>
      </w:r>
      <w:r>
        <w:rPr>
          <w:rFonts w:ascii="Arial" w:hAnsi="Arial" w:cs="Arial"/>
          <w:sz w:val="24"/>
          <w:szCs w:val="24"/>
        </w:rPr>
        <w:t>a</w:t>
      </w:r>
      <w:r w:rsidR="00EB326A">
        <w:rPr>
          <w:rFonts w:ascii="Arial" w:hAnsi="Arial" w:cs="Arial"/>
          <w:sz w:val="24"/>
          <w:szCs w:val="24"/>
        </w:rPr>
        <w:t xml:space="preserve">re required to report on their gender pay gap. </w:t>
      </w:r>
      <w:r>
        <w:rPr>
          <w:rFonts w:ascii="Arial" w:hAnsi="Arial" w:cs="Arial"/>
          <w:sz w:val="24"/>
          <w:szCs w:val="24"/>
        </w:rPr>
        <w:t>The snapshot date for 202</w:t>
      </w:r>
      <w:r w:rsidR="00BA57A4">
        <w:rPr>
          <w:rFonts w:ascii="Arial" w:hAnsi="Arial" w:cs="Arial"/>
          <w:sz w:val="24"/>
          <w:szCs w:val="24"/>
        </w:rPr>
        <w:t>3</w:t>
      </w:r>
      <w:r>
        <w:rPr>
          <w:rFonts w:ascii="Arial" w:hAnsi="Arial" w:cs="Arial"/>
          <w:sz w:val="24"/>
          <w:szCs w:val="24"/>
        </w:rPr>
        <w:t xml:space="preserve"> was 31</w:t>
      </w:r>
      <w:r w:rsidRPr="009A15B7">
        <w:rPr>
          <w:rFonts w:ascii="Arial" w:hAnsi="Arial" w:cs="Arial"/>
          <w:sz w:val="24"/>
          <w:szCs w:val="24"/>
          <w:vertAlign w:val="superscript"/>
        </w:rPr>
        <w:t>st</w:t>
      </w:r>
      <w:r>
        <w:rPr>
          <w:rFonts w:ascii="Arial" w:hAnsi="Arial" w:cs="Arial"/>
          <w:sz w:val="24"/>
          <w:szCs w:val="24"/>
        </w:rPr>
        <w:t xml:space="preserve"> March 202</w:t>
      </w:r>
      <w:r w:rsidR="00BA57A4">
        <w:rPr>
          <w:rFonts w:ascii="Arial" w:hAnsi="Arial" w:cs="Arial"/>
          <w:sz w:val="24"/>
          <w:szCs w:val="24"/>
        </w:rPr>
        <w:t>3</w:t>
      </w:r>
      <w:r>
        <w:rPr>
          <w:rFonts w:ascii="Arial" w:hAnsi="Arial" w:cs="Arial"/>
          <w:sz w:val="24"/>
          <w:szCs w:val="24"/>
        </w:rPr>
        <w:t xml:space="preserve"> with reports and findings to be published before 3</w:t>
      </w:r>
      <w:r w:rsidR="00ED4197">
        <w:rPr>
          <w:rFonts w:ascii="Arial" w:hAnsi="Arial" w:cs="Arial"/>
          <w:sz w:val="24"/>
          <w:szCs w:val="24"/>
        </w:rPr>
        <w:t>0</w:t>
      </w:r>
      <w:r w:rsidR="00ED4197" w:rsidRPr="00ED4197">
        <w:rPr>
          <w:rFonts w:ascii="Arial" w:hAnsi="Arial" w:cs="Arial"/>
          <w:sz w:val="24"/>
          <w:szCs w:val="24"/>
          <w:vertAlign w:val="superscript"/>
        </w:rPr>
        <w:t>th</w:t>
      </w:r>
      <w:r w:rsidR="00ED4197">
        <w:rPr>
          <w:rFonts w:ascii="Arial" w:hAnsi="Arial" w:cs="Arial"/>
          <w:sz w:val="24"/>
          <w:szCs w:val="24"/>
        </w:rPr>
        <w:t xml:space="preserve"> </w:t>
      </w:r>
      <w:r>
        <w:rPr>
          <w:rFonts w:ascii="Arial" w:hAnsi="Arial" w:cs="Arial"/>
          <w:sz w:val="24"/>
          <w:szCs w:val="24"/>
        </w:rPr>
        <w:t>March 202</w:t>
      </w:r>
      <w:r w:rsidR="00BA57A4">
        <w:rPr>
          <w:rFonts w:ascii="Arial" w:hAnsi="Arial" w:cs="Arial"/>
          <w:sz w:val="24"/>
          <w:szCs w:val="24"/>
        </w:rPr>
        <w:t>4</w:t>
      </w:r>
      <w:r w:rsidR="00EB326A">
        <w:rPr>
          <w:rFonts w:ascii="Arial" w:hAnsi="Arial" w:cs="Arial"/>
          <w:sz w:val="24"/>
          <w:szCs w:val="24"/>
        </w:rPr>
        <w:t xml:space="preserve"> The gender pay gap is defined as the differences in the average</w:t>
      </w:r>
      <w:bookmarkStart w:id="0" w:name="_GoBack"/>
      <w:bookmarkEnd w:id="0"/>
      <w:r w:rsidR="00EB326A">
        <w:rPr>
          <w:rFonts w:ascii="Arial" w:hAnsi="Arial" w:cs="Arial"/>
          <w:sz w:val="24"/>
          <w:szCs w:val="24"/>
        </w:rPr>
        <w:t xml:space="preserve"> earnings of men and women over a standard time p</w:t>
      </w:r>
      <w:r w:rsidR="00935F99">
        <w:rPr>
          <w:rFonts w:ascii="Arial" w:hAnsi="Arial" w:cs="Arial"/>
          <w:sz w:val="24"/>
          <w:szCs w:val="24"/>
        </w:rPr>
        <w:t>eriod, regardless of their role.</w:t>
      </w:r>
    </w:p>
    <w:p w:rsidR="00EB326A" w:rsidRDefault="00EB326A" w:rsidP="002F34E0">
      <w:pPr>
        <w:spacing w:after="0" w:line="240" w:lineRule="auto"/>
        <w:rPr>
          <w:rFonts w:ascii="Arial" w:hAnsi="Arial" w:cs="Arial"/>
          <w:sz w:val="24"/>
          <w:szCs w:val="24"/>
        </w:rPr>
      </w:pPr>
    </w:p>
    <w:p w:rsidR="00EB326A" w:rsidRDefault="00EB326A" w:rsidP="002F34E0">
      <w:pPr>
        <w:spacing w:after="0" w:line="240" w:lineRule="auto"/>
        <w:rPr>
          <w:rFonts w:ascii="Arial" w:hAnsi="Arial" w:cs="Arial"/>
          <w:sz w:val="24"/>
          <w:szCs w:val="24"/>
        </w:rPr>
      </w:pPr>
      <w:r>
        <w:rPr>
          <w:rFonts w:ascii="Arial" w:hAnsi="Arial" w:cs="Arial"/>
          <w:sz w:val="24"/>
          <w:szCs w:val="24"/>
        </w:rPr>
        <w:t>The Blackpool Sixth Form College’s workforce consists of significantly more females than males. This reflects industry trends and also our student profile. Our gender pay gap results should be considered in the context of this distribution as the predominance of females to males has a significant influence on our overall gender pay gaps.</w:t>
      </w:r>
    </w:p>
    <w:p w:rsidR="00EB326A" w:rsidRDefault="00EB326A" w:rsidP="002F34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EB326A" w:rsidRPr="00EB326A" w:rsidTr="00EB326A">
        <w:tc>
          <w:tcPr>
            <w:tcW w:w="3116" w:type="dxa"/>
            <w:shd w:val="clear" w:color="auto" w:fill="D0CECE" w:themeFill="background2" w:themeFillShade="E6"/>
          </w:tcPr>
          <w:p w:rsidR="00EB326A" w:rsidRPr="00EB326A" w:rsidRDefault="00EB326A" w:rsidP="00EB326A">
            <w:pPr>
              <w:jc w:val="center"/>
              <w:rPr>
                <w:rFonts w:ascii="Arial" w:hAnsi="Arial" w:cs="Arial"/>
                <w:b/>
                <w:sz w:val="24"/>
                <w:szCs w:val="24"/>
              </w:rPr>
            </w:pPr>
            <w:r w:rsidRPr="00EB326A">
              <w:rPr>
                <w:rFonts w:ascii="Arial" w:hAnsi="Arial" w:cs="Arial"/>
                <w:b/>
                <w:sz w:val="24"/>
                <w:szCs w:val="24"/>
              </w:rPr>
              <w:t>Gender</w:t>
            </w:r>
          </w:p>
        </w:tc>
        <w:tc>
          <w:tcPr>
            <w:tcW w:w="3117" w:type="dxa"/>
            <w:shd w:val="clear" w:color="auto" w:fill="D0CECE" w:themeFill="background2" w:themeFillShade="E6"/>
          </w:tcPr>
          <w:p w:rsidR="00EB326A" w:rsidRPr="00EB326A" w:rsidRDefault="00EB326A" w:rsidP="00EB326A">
            <w:pPr>
              <w:jc w:val="center"/>
              <w:rPr>
                <w:rFonts w:ascii="Arial" w:hAnsi="Arial" w:cs="Arial"/>
                <w:b/>
                <w:sz w:val="24"/>
                <w:szCs w:val="24"/>
              </w:rPr>
            </w:pPr>
            <w:r w:rsidRPr="00EB326A">
              <w:rPr>
                <w:rFonts w:ascii="Arial" w:hAnsi="Arial" w:cs="Arial"/>
                <w:b/>
                <w:sz w:val="24"/>
                <w:szCs w:val="24"/>
              </w:rPr>
              <w:t>Number</w:t>
            </w:r>
          </w:p>
        </w:tc>
        <w:tc>
          <w:tcPr>
            <w:tcW w:w="3117" w:type="dxa"/>
            <w:shd w:val="clear" w:color="auto" w:fill="D0CECE" w:themeFill="background2" w:themeFillShade="E6"/>
          </w:tcPr>
          <w:p w:rsidR="00EB326A" w:rsidRPr="00EB326A" w:rsidRDefault="00EB326A" w:rsidP="00EB326A">
            <w:pPr>
              <w:jc w:val="center"/>
              <w:rPr>
                <w:rFonts w:ascii="Arial" w:hAnsi="Arial" w:cs="Arial"/>
                <w:b/>
                <w:sz w:val="24"/>
                <w:szCs w:val="24"/>
              </w:rPr>
            </w:pPr>
            <w:r w:rsidRPr="00EB326A">
              <w:rPr>
                <w:rFonts w:ascii="Arial" w:hAnsi="Arial" w:cs="Arial"/>
                <w:b/>
                <w:sz w:val="24"/>
                <w:szCs w:val="24"/>
              </w:rPr>
              <w:t>Percentage</w:t>
            </w:r>
          </w:p>
        </w:tc>
      </w:tr>
      <w:tr w:rsidR="00EB326A" w:rsidTr="00EB326A">
        <w:tc>
          <w:tcPr>
            <w:tcW w:w="3116" w:type="dxa"/>
          </w:tcPr>
          <w:p w:rsidR="00EB326A" w:rsidRDefault="00EB326A" w:rsidP="00EB326A">
            <w:pPr>
              <w:jc w:val="center"/>
              <w:rPr>
                <w:rFonts w:ascii="Arial" w:hAnsi="Arial" w:cs="Arial"/>
                <w:sz w:val="24"/>
                <w:szCs w:val="24"/>
              </w:rPr>
            </w:pPr>
            <w:r>
              <w:rPr>
                <w:rFonts w:ascii="Arial" w:hAnsi="Arial" w:cs="Arial"/>
                <w:sz w:val="24"/>
                <w:szCs w:val="24"/>
              </w:rPr>
              <w:t>M</w:t>
            </w:r>
          </w:p>
        </w:tc>
        <w:tc>
          <w:tcPr>
            <w:tcW w:w="3117" w:type="dxa"/>
          </w:tcPr>
          <w:p w:rsidR="00EB326A" w:rsidRDefault="006529D6" w:rsidP="00EB326A">
            <w:pPr>
              <w:jc w:val="center"/>
              <w:rPr>
                <w:rFonts w:ascii="Arial" w:hAnsi="Arial" w:cs="Arial"/>
                <w:sz w:val="24"/>
                <w:szCs w:val="24"/>
              </w:rPr>
            </w:pPr>
            <w:r>
              <w:rPr>
                <w:rFonts w:ascii="Arial" w:hAnsi="Arial" w:cs="Arial"/>
                <w:sz w:val="24"/>
                <w:szCs w:val="24"/>
              </w:rPr>
              <w:t>8</w:t>
            </w:r>
            <w:r w:rsidR="00FA405B">
              <w:rPr>
                <w:rFonts w:ascii="Arial" w:hAnsi="Arial" w:cs="Arial"/>
                <w:sz w:val="24"/>
                <w:szCs w:val="24"/>
              </w:rPr>
              <w:t>9</w:t>
            </w:r>
          </w:p>
        </w:tc>
        <w:tc>
          <w:tcPr>
            <w:tcW w:w="3117" w:type="dxa"/>
          </w:tcPr>
          <w:p w:rsidR="00EB326A" w:rsidRDefault="00EB326A" w:rsidP="00EB326A">
            <w:pPr>
              <w:jc w:val="center"/>
              <w:rPr>
                <w:rFonts w:ascii="Arial" w:hAnsi="Arial" w:cs="Arial"/>
                <w:sz w:val="24"/>
                <w:szCs w:val="24"/>
              </w:rPr>
            </w:pPr>
            <w:r>
              <w:rPr>
                <w:rFonts w:ascii="Arial" w:hAnsi="Arial" w:cs="Arial"/>
                <w:sz w:val="24"/>
                <w:szCs w:val="24"/>
              </w:rPr>
              <w:t>3</w:t>
            </w:r>
            <w:r w:rsidR="00FA405B">
              <w:rPr>
                <w:rFonts w:ascii="Arial" w:hAnsi="Arial" w:cs="Arial"/>
                <w:sz w:val="24"/>
                <w:szCs w:val="24"/>
              </w:rPr>
              <w:t>4.63</w:t>
            </w:r>
            <w:r w:rsidR="006C7B35">
              <w:rPr>
                <w:rFonts w:ascii="Arial" w:hAnsi="Arial" w:cs="Arial"/>
                <w:sz w:val="24"/>
                <w:szCs w:val="24"/>
              </w:rPr>
              <w:t>%</w:t>
            </w:r>
          </w:p>
        </w:tc>
      </w:tr>
      <w:tr w:rsidR="00EB326A" w:rsidTr="00EB326A">
        <w:tc>
          <w:tcPr>
            <w:tcW w:w="3116" w:type="dxa"/>
          </w:tcPr>
          <w:p w:rsidR="00EB326A" w:rsidRDefault="00EB326A" w:rsidP="00EB326A">
            <w:pPr>
              <w:jc w:val="center"/>
              <w:rPr>
                <w:rFonts w:ascii="Arial" w:hAnsi="Arial" w:cs="Arial"/>
                <w:sz w:val="24"/>
                <w:szCs w:val="24"/>
              </w:rPr>
            </w:pPr>
            <w:r>
              <w:rPr>
                <w:rFonts w:ascii="Arial" w:hAnsi="Arial" w:cs="Arial"/>
                <w:sz w:val="24"/>
                <w:szCs w:val="24"/>
              </w:rPr>
              <w:t>F</w:t>
            </w:r>
          </w:p>
        </w:tc>
        <w:tc>
          <w:tcPr>
            <w:tcW w:w="3117" w:type="dxa"/>
          </w:tcPr>
          <w:p w:rsidR="00EB326A" w:rsidRDefault="00EB326A" w:rsidP="00EB326A">
            <w:pPr>
              <w:jc w:val="center"/>
              <w:rPr>
                <w:rFonts w:ascii="Arial" w:hAnsi="Arial" w:cs="Arial"/>
                <w:sz w:val="24"/>
                <w:szCs w:val="24"/>
              </w:rPr>
            </w:pPr>
            <w:r>
              <w:rPr>
                <w:rFonts w:ascii="Arial" w:hAnsi="Arial" w:cs="Arial"/>
                <w:sz w:val="24"/>
                <w:szCs w:val="24"/>
              </w:rPr>
              <w:t>1</w:t>
            </w:r>
            <w:r w:rsidR="006529D6">
              <w:rPr>
                <w:rFonts w:ascii="Arial" w:hAnsi="Arial" w:cs="Arial"/>
                <w:sz w:val="24"/>
                <w:szCs w:val="24"/>
              </w:rPr>
              <w:t>6</w:t>
            </w:r>
            <w:r w:rsidR="00FA405B">
              <w:rPr>
                <w:rFonts w:ascii="Arial" w:hAnsi="Arial" w:cs="Arial"/>
                <w:sz w:val="24"/>
                <w:szCs w:val="24"/>
              </w:rPr>
              <w:t>8</w:t>
            </w:r>
          </w:p>
        </w:tc>
        <w:tc>
          <w:tcPr>
            <w:tcW w:w="3117" w:type="dxa"/>
          </w:tcPr>
          <w:p w:rsidR="00EB326A" w:rsidRDefault="00EE65F5" w:rsidP="00EB326A">
            <w:pPr>
              <w:jc w:val="center"/>
              <w:rPr>
                <w:rFonts w:ascii="Arial" w:hAnsi="Arial" w:cs="Arial"/>
                <w:sz w:val="24"/>
                <w:szCs w:val="24"/>
              </w:rPr>
            </w:pPr>
            <w:r>
              <w:rPr>
                <w:rFonts w:ascii="Arial" w:hAnsi="Arial" w:cs="Arial"/>
                <w:sz w:val="24"/>
                <w:szCs w:val="24"/>
              </w:rPr>
              <w:t>6</w:t>
            </w:r>
            <w:r w:rsidR="00FA405B">
              <w:rPr>
                <w:rFonts w:ascii="Arial" w:hAnsi="Arial" w:cs="Arial"/>
                <w:sz w:val="24"/>
                <w:szCs w:val="24"/>
              </w:rPr>
              <w:t>5.36</w:t>
            </w:r>
            <w:r w:rsidR="006C7B35">
              <w:rPr>
                <w:rFonts w:ascii="Arial" w:hAnsi="Arial" w:cs="Arial"/>
                <w:sz w:val="24"/>
                <w:szCs w:val="24"/>
              </w:rPr>
              <w:t>%</w:t>
            </w:r>
          </w:p>
        </w:tc>
      </w:tr>
    </w:tbl>
    <w:p w:rsidR="00EB326A" w:rsidRDefault="00EB326A" w:rsidP="002F34E0">
      <w:pPr>
        <w:spacing w:after="0" w:line="240" w:lineRule="auto"/>
        <w:rPr>
          <w:rFonts w:ascii="Arial" w:hAnsi="Arial" w:cs="Arial"/>
          <w:sz w:val="24"/>
          <w:szCs w:val="24"/>
        </w:rPr>
      </w:pPr>
    </w:p>
    <w:p w:rsidR="00EB326A" w:rsidRPr="006C7B35" w:rsidRDefault="007343BF" w:rsidP="002F34E0">
      <w:pPr>
        <w:spacing w:after="0" w:line="240" w:lineRule="auto"/>
        <w:rPr>
          <w:rFonts w:ascii="Arial" w:hAnsi="Arial" w:cs="Arial"/>
          <w:b/>
          <w:sz w:val="24"/>
          <w:szCs w:val="24"/>
        </w:rPr>
      </w:pPr>
      <w:r>
        <w:rPr>
          <w:rFonts w:ascii="Arial" w:hAnsi="Arial" w:cs="Arial"/>
          <w:b/>
          <w:sz w:val="24"/>
          <w:szCs w:val="24"/>
        </w:rPr>
        <w:t>Overall hourly rate breakdown</w:t>
      </w:r>
    </w:p>
    <w:p w:rsidR="00EB326A" w:rsidRDefault="00EB326A" w:rsidP="002F34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B326A" w:rsidRPr="006C7B35" w:rsidTr="006C7B35">
        <w:tc>
          <w:tcPr>
            <w:tcW w:w="2337" w:type="dxa"/>
            <w:shd w:val="clear" w:color="auto" w:fill="D0CECE" w:themeFill="background2" w:themeFillShade="E6"/>
          </w:tcPr>
          <w:p w:rsidR="00EB326A" w:rsidRPr="006C7B35" w:rsidRDefault="00EB326A" w:rsidP="006C7B35">
            <w:pPr>
              <w:jc w:val="center"/>
              <w:rPr>
                <w:rFonts w:ascii="Arial" w:hAnsi="Arial" w:cs="Arial"/>
                <w:b/>
                <w:sz w:val="24"/>
                <w:szCs w:val="24"/>
              </w:rPr>
            </w:pPr>
          </w:p>
        </w:tc>
        <w:tc>
          <w:tcPr>
            <w:tcW w:w="2337" w:type="dxa"/>
            <w:shd w:val="clear" w:color="auto" w:fill="D0CECE" w:themeFill="background2" w:themeFillShade="E6"/>
          </w:tcPr>
          <w:p w:rsidR="00EB326A" w:rsidRPr="006C7B35" w:rsidRDefault="006C7B35" w:rsidP="006C7B35">
            <w:pPr>
              <w:jc w:val="center"/>
              <w:rPr>
                <w:rFonts w:ascii="Arial" w:hAnsi="Arial" w:cs="Arial"/>
                <w:b/>
                <w:sz w:val="24"/>
                <w:szCs w:val="24"/>
              </w:rPr>
            </w:pPr>
            <w:r w:rsidRPr="006C7B35">
              <w:rPr>
                <w:rFonts w:ascii="Arial" w:hAnsi="Arial" w:cs="Arial"/>
                <w:b/>
                <w:sz w:val="24"/>
                <w:szCs w:val="24"/>
              </w:rPr>
              <w:t>Male</w:t>
            </w:r>
          </w:p>
        </w:tc>
        <w:tc>
          <w:tcPr>
            <w:tcW w:w="2338" w:type="dxa"/>
            <w:shd w:val="clear" w:color="auto" w:fill="D0CECE" w:themeFill="background2" w:themeFillShade="E6"/>
          </w:tcPr>
          <w:p w:rsidR="00EB326A" w:rsidRPr="006C7B35" w:rsidRDefault="006C7B35" w:rsidP="006C7B35">
            <w:pPr>
              <w:jc w:val="center"/>
              <w:rPr>
                <w:rFonts w:ascii="Arial" w:hAnsi="Arial" w:cs="Arial"/>
                <w:b/>
                <w:sz w:val="24"/>
                <w:szCs w:val="24"/>
              </w:rPr>
            </w:pPr>
            <w:r w:rsidRPr="006C7B35">
              <w:rPr>
                <w:rFonts w:ascii="Arial" w:hAnsi="Arial" w:cs="Arial"/>
                <w:b/>
                <w:sz w:val="24"/>
                <w:szCs w:val="24"/>
              </w:rPr>
              <w:t>Female</w:t>
            </w:r>
          </w:p>
        </w:tc>
        <w:tc>
          <w:tcPr>
            <w:tcW w:w="2338" w:type="dxa"/>
            <w:shd w:val="clear" w:color="auto" w:fill="D0CECE" w:themeFill="background2" w:themeFillShade="E6"/>
          </w:tcPr>
          <w:p w:rsidR="00EB326A" w:rsidRPr="006C7B35" w:rsidRDefault="006C7B35" w:rsidP="006C7B35">
            <w:pPr>
              <w:jc w:val="center"/>
              <w:rPr>
                <w:rFonts w:ascii="Arial" w:hAnsi="Arial" w:cs="Arial"/>
                <w:b/>
                <w:sz w:val="24"/>
                <w:szCs w:val="24"/>
              </w:rPr>
            </w:pPr>
            <w:r w:rsidRPr="006C7B35">
              <w:rPr>
                <w:rFonts w:ascii="Arial" w:hAnsi="Arial" w:cs="Arial"/>
                <w:b/>
                <w:sz w:val="24"/>
                <w:szCs w:val="24"/>
              </w:rPr>
              <w:t xml:space="preserve">Percentage </w:t>
            </w:r>
            <w:r w:rsidR="00843769">
              <w:rPr>
                <w:rFonts w:ascii="Arial" w:hAnsi="Arial" w:cs="Arial"/>
                <w:b/>
                <w:sz w:val="24"/>
                <w:szCs w:val="24"/>
              </w:rPr>
              <w:t>d</w:t>
            </w:r>
            <w:r w:rsidRPr="006C7B35">
              <w:rPr>
                <w:rFonts w:ascii="Arial" w:hAnsi="Arial" w:cs="Arial"/>
                <w:b/>
                <w:sz w:val="24"/>
                <w:szCs w:val="24"/>
              </w:rPr>
              <w:t>ifference</w:t>
            </w:r>
          </w:p>
        </w:tc>
      </w:tr>
      <w:tr w:rsidR="00EB326A" w:rsidTr="00EB326A">
        <w:tc>
          <w:tcPr>
            <w:tcW w:w="2337" w:type="dxa"/>
          </w:tcPr>
          <w:p w:rsidR="00EB326A" w:rsidRDefault="00EB326A" w:rsidP="002F34E0">
            <w:pPr>
              <w:rPr>
                <w:rFonts w:ascii="Arial" w:hAnsi="Arial" w:cs="Arial"/>
                <w:sz w:val="24"/>
                <w:szCs w:val="24"/>
              </w:rPr>
            </w:pPr>
            <w:r>
              <w:rPr>
                <w:rFonts w:ascii="Arial" w:hAnsi="Arial" w:cs="Arial"/>
                <w:sz w:val="24"/>
                <w:szCs w:val="24"/>
              </w:rPr>
              <w:t>Mean</w:t>
            </w:r>
          </w:p>
        </w:tc>
        <w:tc>
          <w:tcPr>
            <w:tcW w:w="2337" w:type="dxa"/>
          </w:tcPr>
          <w:p w:rsidR="00EB326A" w:rsidRDefault="007343BF" w:rsidP="006C7B35">
            <w:pPr>
              <w:jc w:val="center"/>
              <w:rPr>
                <w:rFonts w:ascii="Arial" w:hAnsi="Arial" w:cs="Arial"/>
                <w:sz w:val="24"/>
                <w:szCs w:val="24"/>
              </w:rPr>
            </w:pPr>
            <w:r>
              <w:rPr>
                <w:rFonts w:ascii="Arial" w:hAnsi="Arial" w:cs="Arial"/>
                <w:sz w:val="24"/>
                <w:szCs w:val="24"/>
              </w:rPr>
              <w:t>£</w:t>
            </w:r>
            <w:r w:rsidR="00E30A98">
              <w:rPr>
                <w:rFonts w:ascii="Arial" w:hAnsi="Arial" w:cs="Arial"/>
                <w:sz w:val="24"/>
                <w:szCs w:val="24"/>
              </w:rPr>
              <w:t>18.</w:t>
            </w:r>
            <w:r w:rsidR="00FA405B">
              <w:rPr>
                <w:rFonts w:ascii="Arial" w:hAnsi="Arial" w:cs="Arial"/>
                <w:sz w:val="24"/>
                <w:szCs w:val="24"/>
              </w:rPr>
              <w:t>87</w:t>
            </w:r>
          </w:p>
        </w:tc>
        <w:tc>
          <w:tcPr>
            <w:tcW w:w="2338" w:type="dxa"/>
          </w:tcPr>
          <w:p w:rsidR="00EB326A" w:rsidRDefault="007343BF" w:rsidP="006C7B35">
            <w:pPr>
              <w:jc w:val="center"/>
              <w:rPr>
                <w:rFonts w:ascii="Arial" w:hAnsi="Arial" w:cs="Arial"/>
                <w:sz w:val="24"/>
                <w:szCs w:val="24"/>
              </w:rPr>
            </w:pPr>
            <w:r>
              <w:rPr>
                <w:rFonts w:ascii="Arial" w:hAnsi="Arial" w:cs="Arial"/>
                <w:sz w:val="24"/>
                <w:szCs w:val="24"/>
              </w:rPr>
              <w:t>£</w:t>
            </w:r>
            <w:r w:rsidR="00E30A98">
              <w:rPr>
                <w:rFonts w:ascii="Arial" w:hAnsi="Arial" w:cs="Arial"/>
                <w:sz w:val="24"/>
                <w:szCs w:val="24"/>
              </w:rPr>
              <w:t>17.</w:t>
            </w:r>
            <w:r w:rsidR="00FA405B">
              <w:rPr>
                <w:rFonts w:ascii="Arial" w:hAnsi="Arial" w:cs="Arial"/>
                <w:sz w:val="24"/>
                <w:szCs w:val="24"/>
              </w:rPr>
              <w:t>8</w:t>
            </w:r>
            <w:r w:rsidR="00323E58">
              <w:rPr>
                <w:rFonts w:ascii="Arial" w:hAnsi="Arial" w:cs="Arial"/>
                <w:sz w:val="24"/>
                <w:szCs w:val="24"/>
              </w:rPr>
              <w:t>4</w:t>
            </w:r>
          </w:p>
        </w:tc>
        <w:tc>
          <w:tcPr>
            <w:tcW w:w="2338" w:type="dxa"/>
          </w:tcPr>
          <w:p w:rsidR="00EB326A" w:rsidRDefault="00E30A98" w:rsidP="006C7B35">
            <w:pPr>
              <w:jc w:val="center"/>
              <w:rPr>
                <w:rFonts w:ascii="Arial" w:hAnsi="Arial" w:cs="Arial"/>
                <w:sz w:val="24"/>
                <w:szCs w:val="24"/>
              </w:rPr>
            </w:pPr>
            <w:r>
              <w:rPr>
                <w:rFonts w:ascii="Arial" w:hAnsi="Arial" w:cs="Arial"/>
                <w:sz w:val="24"/>
                <w:szCs w:val="24"/>
              </w:rPr>
              <w:t>5.</w:t>
            </w:r>
            <w:r w:rsidR="00323E58">
              <w:rPr>
                <w:rFonts w:ascii="Arial" w:hAnsi="Arial" w:cs="Arial"/>
                <w:sz w:val="24"/>
                <w:szCs w:val="24"/>
              </w:rPr>
              <w:t>45</w:t>
            </w:r>
            <w:r w:rsidR="006C7B35">
              <w:rPr>
                <w:rFonts w:ascii="Arial" w:hAnsi="Arial" w:cs="Arial"/>
                <w:sz w:val="24"/>
                <w:szCs w:val="24"/>
              </w:rPr>
              <w:t>%</w:t>
            </w:r>
          </w:p>
        </w:tc>
      </w:tr>
      <w:tr w:rsidR="00EB326A" w:rsidTr="00EB326A">
        <w:tc>
          <w:tcPr>
            <w:tcW w:w="2337" w:type="dxa"/>
          </w:tcPr>
          <w:p w:rsidR="00EB326A" w:rsidRDefault="00EB326A" w:rsidP="002F34E0">
            <w:pPr>
              <w:rPr>
                <w:rFonts w:ascii="Arial" w:hAnsi="Arial" w:cs="Arial"/>
                <w:sz w:val="24"/>
                <w:szCs w:val="24"/>
              </w:rPr>
            </w:pPr>
            <w:r>
              <w:rPr>
                <w:rFonts w:ascii="Arial" w:hAnsi="Arial" w:cs="Arial"/>
                <w:sz w:val="24"/>
                <w:szCs w:val="24"/>
              </w:rPr>
              <w:t>Median</w:t>
            </w:r>
          </w:p>
        </w:tc>
        <w:tc>
          <w:tcPr>
            <w:tcW w:w="2337" w:type="dxa"/>
          </w:tcPr>
          <w:p w:rsidR="00EB326A" w:rsidRDefault="007343BF" w:rsidP="006C7B35">
            <w:pPr>
              <w:jc w:val="center"/>
              <w:rPr>
                <w:rFonts w:ascii="Arial" w:hAnsi="Arial" w:cs="Arial"/>
                <w:sz w:val="24"/>
                <w:szCs w:val="24"/>
              </w:rPr>
            </w:pPr>
            <w:r>
              <w:rPr>
                <w:rFonts w:ascii="Arial" w:hAnsi="Arial" w:cs="Arial"/>
                <w:sz w:val="24"/>
                <w:szCs w:val="24"/>
              </w:rPr>
              <w:t>£</w:t>
            </w:r>
            <w:r w:rsidR="006C7B35">
              <w:rPr>
                <w:rFonts w:ascii="Arial" w:hAnsi="Arial" w:cs="Arial"/>
                <w:sz w:val="24"/>
                <w:szCs w:val="24"/>
              </w:rPr>
              <w:t>2</w:t>
            </w:r>
            <w:r w:rsidR="00FA405B">
              <w:rPr>
                <w:rFonts w:ascii="Arial" w:hAnsi="Arial" w:cs="Arial"/>
                <w:sz w:val="24"/>
                <w:szCs w:val="24"/>
              </w:rPr>
              <w:t>0.12</w:t>
            </w:r>
          </w:p>
        </w:tc>
        <w:tc>
          <w:tcPr>
            <w:tcW w:w="2338" w:type="dxa"/>
          </w:tcPr>
          <w:p w:rsidR="00EB326A" w:rsidRDefault="007343BF" w:rsidP="006C7B35">
            <w:pPr>
              <w:jc w:val="center"/>
              <w:rPr>
                <w:rFonts w:ascii="Arial" w:hAnsi="Arial" w:cs="Arial"/>
                <w:sz w:val="24"/>
                <w:szCs w:val="24"/>
              </w:rPr>
            </w:pPr>
            <w:r>
              <w:rPr>
                <w:rFonts w:ascii="Arial" w:hAnsi="Arial" w:cs="Arial"/>
                <w:sz w:val="24"/>
                <w:szCs w:val="24"/>
              </w:rPr>
              <w:t>£</w:t>
            </w:r>
            <w:r w:rsidR="006C7B35">
              <w:rPr>
                <w:rFonts w:ascii="Arial" w:hAnsi="Arial" w:cs="Arial"/>
                <w:sz w:val="24"/>
                <w:szCs w:val="24"/>
              </w:rPr>
              <w:t>1</w:t>
            </w:r>
            <w:r w:rsidR="00FA405B">
              <w:rPr>
                <w:rFonts w:ascii="Arial" w:hAnsi="Arial" w:cs="Arial"/>
                <w:sz w:val="24"/>
                <w:szCs w:val="24"/>
              </w:rPr>
              <w:t>4.98</w:t>
            </w:r>
          </w:p>
        </w:tc>
        <w:tc>
          <w:tcPr>
            <w:tcW w:w="2338" w:type="dxa"/>
          </w:tcPr>
          <w:p w:rsidR="00EB326A" w:rsidRDefault="00FA405B" w:rsidP="006C7B35">
            <w:pPr>
              <w:jc w:val="center"/>
              <w:rPr>
                <w:rFonts w:ascii="Arial" w:hAnsi="Arial" w:cs="Arial"/>
                <w:sz w:val="24"/>
                <w:szCs w:val="24"/>
              </w:rPr>
            </w:pPr>
            <w:r>
              <w:rPr>
                <w:rFonts w:ascii="Arial" w:hAnsi="Arial" w:cs="Arial"/>
                <w:sz w:val="24"/>
                <w:szCs w:val="24"/>
              </w:rPr>
              <w:t>25.54</w:t>
            </w:r>
            <w:r w:rsidR="006C7B35">
              <w:rPr>
                <w:rFonts w:ascii="Arial" w:hAnsi="Arial" w:cs="Arial"/>
                <w:sz w:val="24"/>
                <w:szCs w:val="24"/>
              </w:rPr>
              <w:t>%</w:t>
            </w:r>
          </w:p>
        </w:tc>
      </w:tr>
    </w:tbl>
    <w:p w:rsidR="00EB326A" w:rsidRDefault="00EB326A" w:rsidP="002F34E0">
      <w:pPr>
        <w:spacing w:after="0" w:line="240" w:lineRule="auto"/>
        <w:rPr>
          <w:rFonts w:ascii="Arial" w:hAnsi="Arial" w:cs="Arial"/>
          <w:sz w:val="24"/>
          <w:szCs w:val="24"/>
        </w:rPr>
      </w:pPr>
    </w:p>
    <w:p w:rsidR="006C7B35" w:rsidRPr="006C7B35" w:rsidRDefault="007343BF" w:rsidP="002F34E0">
      <w:pPr>
        <w:spacing w:after="0" w:line="240" w:lineRule="auto"/>
        <w:rPr>
          <w:rFonts w:ascii="Arial" w:hAnsi="Arial" w:cs="Arial"/>
          <w:b/>
          <w:sz w:val="24"/>
          <w:szCs w:val="24"/>
        </w:rPr>
      </w:pPr>
      <w:r>
        <w:rPr>
          <w:rFonts w:ascii="Arial" w:hAnsi="Arial" w:cs="Arial"/>
          <w:b/>
          <w:sz w:val="24"/>
          <w:szCs w:val="24"/>
        </w:rPr>
        <w:t>Hourly rate quartiles breakdown</w:t>
      </w:r>
    </w:p>
    <w:p w:rsidR="006C7B35" w:rsidRDefault="006C7B35" w:rsidP="002F34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58"/>
        <w:gridCol w:w="1034"/>
        <w:gridCol w:w="1039"/>
        <w:gridCol w:w="1034"/>
        <w:gridCol w:w="1039"/>
        <w:gridCol w:w="1034"/>
        <w:gridCol w:w="1039"/>
        <w:gridCol w:w="1034"/>
        <w:gridCol w:w="1039"/>
      </w:tblGrid>
      <w:tr w:rsidR="006C7B35" w:rsidRPr="006C7B35" w:rsidTr="006C7B35">
        <w:tc>
          <w:tcPr>
            <w:tcW w:w="1038" w:type="dxa"/>
            <w:shd w:val="clear" w:color="auto" w:fill="D0CECE" w:themeFill="background2" w:themeFillShade="E6"/>
          </w:tcPr>
          <w:p w:rsidR="006C7B35" w:rsidRPr="006C7B35" w:rsidRDefault="006C7B35" w:rsidP="006C7B35">
            <w:pPr>
              <w:jc w:val="center"/>
              <w:rPr>
                <w:rFonts w:ascii="Arial" w:hAnsi="Arial" w:cs="Arial"/>
                <w:b/>
                <w:sz w:val="24"/>
                <w:szCs w:val="24"/>
              </w:rPr>
            </w:pPr>
            <w:r w:rsidRPr="006C7B35">
              <w:rPr>
                <w:rFonts w:ascii="Arial" w:hAnsi="Arial" w:cs="Arial"/>
                <w:b/>
                <w:sz w:val="24"/>
                <w:szCs w:val="24"/>
              </w:rPr>
              <w:t>Gender</w:t>
            </w:r>
          </w:p>
        </w:tc>
        <w:tc>
          <w:tcPr>
            <w:tcW w:w="2078" w:type="dxa"/>
            <w:gridSpan w:val="2"/>
            <w:shd w:val="clear" w:color="auto" w:fill="D0CECE" w:themeFill="background2" w:themeFillShade="E6"/>
          </w:tcPr>
          <w:p w:rsidR="006C7B35" w:rsidRPr="006C7B35" w:rsidRDefault="006C7B35" w:rsidP="006C7B35">
            <w:pPr>
              <w:jc w:val="center"/>
              <w:rPr>
                <w:rFonts w:ascii="Arial" w:hAnsi="Arial" w:cs="Arial"/>
                <w:b/>
                <w:sz w:val="24"/>
                <w:szCs w:val="24"/>
              </w:rPr>
            </w:pPr>
            <w:r w:rsidRPr="006C7B35">
              <w:rPr>
                <w:rFonts w:ascii="Arial" w:hAnsi="Arial" w:cs="Arial"/>
                <w:b/>
                <w:sz w:val="24"/>
                <w:szCs w:val="24"/>
              </w:rPr>
              <w:t>Lower</w:t>
            </w:r>
            <w:r>
              <w:rPr>
                <w:rFonts w:ascii="Arial" w:hAnsi="Arial" w:cs="Arial"/>
                <w:b/>
                <w:sz w:val="24"/>
                <w:szCs w:val="24"/>
              </w:rPr>
              <w:t xml:space="preserve"> (</w:t>
            </w:r>
            <w:r w:rsidR="009B77E6">
              <w:rPr>
                <w:rFonts w:ascii="Arial" w:hAnsi="Arial" w:cs="Arial"/>
                <w:b/>
                <w:sz w:val="24"/>
                <w:szCs w:val="24"/>
              </w:rPr>
              <w:t>6</w:t>
            </w:r>
            <w:r w:rsidR="000737A3">
              <w:rPr>
                <w:rFonts w:ascii="Arial" w:hAnsi="Arial" w:cs="Arial"/>
                <w:b/>
                <w:sz w:val="24"/>
                <w:szCs w:val="24"/>
              </w:rPr>
              <w:t>5</w:t>
            </w:r>
            <w:r>
              <w:rPr>
                <w:rFonts w:ascii="Arial" w:hAnsi="Arial" w:cs="Arial"/>
                <w:b/>
                <w:sz w:val="24"/>
                <w:szCs w:val="24"/>
              </w:rPr>
              <w:t>)</w:t>
            </w:r>
          </w:p>
        </w:tc>
        <w:tc>
          <w:tcPr>
            <w:tcW w:w="2078" w:type="dxa"/>
            <w:gridSpan w:val="2"/>
            <w:shd w:val="clear" w:color="auto" w:fill="D0CECE" w:themeFill="background2" w:themeFillShade="E6"/>
          </w:tcPr>
          <w:p w:rsidR="006C7B35" w:rsidRPr="006C7B35" w:rsidRDefault="006C7B35" w:rsidP="006C7B35">
            <w:pPr>
              <w:jc w:val="center"/>
              <w:rPr>
                <w:rFonts w:ascii="Arial" w:hAnsi="Arial" w:cs="Arial"/>
                <w:b/>
                <w:sz w:val="24"/>
                <w:szCs w:val="24"/>
              </w:rPr>
            </w:pPr>
            <w:r w:rsidRPr="006C7B35">
              <w:rPr>
                <w:rFonts w:ascii="Arial" w:hAnsi="Arial" w:cs="Arial"/>
                <w:b/>
                <w:sz w:val="24"/>
                <w:szCs w:val="24"/>
              </w:rPr>
              <w:t>Lower middle</w:t>
            </w:r>
            <w:r>
              <w:rPr>
                <w:rFonts w:ascii="Arial" w:hAnsi="Arial" w:cs="Arial"/>
                <w:b/>
                <w:sz w:val="24"/>
                <w:szCs w:val="24"/>
              </w:rPr>
              <w:t xml:space="preserve"> (</w:t>
            </w:r>
            <w:r w:rsidR="009B77E6">
              <w:rPr>
                <w:rFonts w:ascii="Arial" w:hAnsi="Arial" w:cs="Arial"/>
                <w:b/>
                <w:sz w:val="24"/>
                <w:szCs w:val="24"/>
              </w:rPr>
              <w:t>6</w:t>
            </w:r>
            <w:r w:rsidR="00BA57A4">
              <w:rPr>
                <w:rFonts w:ascii="Arial" w:hAnsi="Arial" w:cs="Arial"/>
                <w:b/>
                <w:sz w:val="24"/>
                <w:szCs w:val="24"/>
              </w:rPr>
              <w:t>4</w:t>
            </w:r>
            <w:r>
              <w:rPr>
                <w:rFonts w:ascii="Arial" w:hAnsi="Arial" w:cs="Arial"/>
                <w:b/>
                <w:sz w:val="24"/>
                <w:szCs w:val="24"/>
              </w:rPr>
              <w:t>)</w:t>
            </w:r>
          </w:p>
        </w:tc>
        <w:tc>
          <w:tcPr>
            <w:tcW w:w="2078" w:type="dxa"/>
            <w:gridSpan w:val="2"/>
            <w:shd w:val="clear" w:color="auto" w:fill="D0CECE" w:themeFill="background2" w:themeFillShade="E6"/>
          </w:tcPr>
          <w:p w:rsidR="006C7B35" w:rsidRPr="006C7B35" w:rsidRDefault="006C7B35" w:rsidP="006C7B35">
            <w:pPr>
              <w:jc w:val="center"/>
              <w:rPr>
                <w:rFonts w:ascii="Arial" w:hAnsi="Arial" w:cs="Arial"/>
                <w:b/>
                <w:sz w:val="24"/>
                <w:szCs w:val="24"/>
              </w:rPr>
            </w:pPr>
            <w:r w:rsidRPr="006C7B35">
              <w:rPr>
                <w:rFonts w:ascii="Arial" w:hAnsi="Arial" w:cs="Arial"/>
                <w:b/>
                <w:sz w:val="24"/>
                <w:szCs w:val="24"/>
              </w:rPr>
              <w:t>Upper middle</w:t>
            </w:r>
            <w:r>
              <w:rPr>
                <w:rFonts w:ascii="Arial" w:hAnsi="Arial" w:cs="Arial"/>
                <w:b/>
                <w:sz w:val="24"/>
                <w:szCs w:val="24"/>
              </w:rPr>
              <w:t xml:space="preserve"> (</w:t>
            </w:r>
            <w:r w:rsidR="009B77E6">
              <w:rPr>
                <w:rFonts w:ascii="Arial" w:hAnsi="Arial" w:cs="Arial"/>
                <w:b/>
                <w:sz w:val="24"/>
                <w:szCs w:val="24"/>
              </w:rPr>
              <w:t>6</w:t>
            </w:r>
            <w:r w:rsidR="00BA57A4">
              <w:rPr>
                <w:rFonts w:ascii="Arial" w:hAnsi="Arial" w:cs="Arial"/>
                <w:b/>
                <w:sz w:val="24"/>
                <w:szCs w:val="24"/>
              </w:rPr>
              <w:t>4</w:t>
            </w:r>
            <w:r>
              <w:rPr>
                <w:rFonts w:ascii="Arial" w:hAnsi="Arial" w:cs="Arial"/>
                <w:b/>
                <w:sz w:val="24"/>
                <w:szCs w:val="24"/>
              </w:rPr>
              <w:t>)</w:t>
            </w:r>
          </w:p>
        </w:tc>
        <w:tc>
          <w:tcPr>
            <w:tcW w:w="2078" w:type="dxa"/>
            <w:gridSpan w:val="2"/>
            <w:shd w:val="clear" w:color="auto" w:fill="D0CECE" w:themeFill="background2" w:themeFillShade="E6"/>
          </w:tcPr>
          <w:p w:rsidR="006C7B35" w:rsidRPr="006C7B35" w:rsidRDefault="006C7B35" w:rsidP="006C7B35">
            <w:pPr>
              <w:jc w:val="center"/>
              <w:rPr>
                <w:rFonts w:ascii="Arial" w:hAnsi="Arial" w:cs="Arial"/>
                <w:b/>
                <w:sz w:val="24"/>
                <w:szCs w:val="24"/>
              </w:rPr>
            </w:pPr>
            <w:r w:rsidRPr="006C7B35">
              <w:rPr>
                <w:rFonts w:ascii="Arial" w:hAnsi="Arial" w:cs="Arial"/>
                <w:b/>
                <w:sz w:val="24"/>
                <w:szCs w:val="24"/>
              </w:rPr>
              <w:t>Upper</w:t>
            </w:r>
            <w:r>
              <w:rPr>
                <w:rFonts w:ascii="Arial" w:hAnsi="Arial" w:cs="Arial"/>
                <w:b/>
                <w:sz w:val="24"/>
                <w:szCs w:val="24"/>
              </w:rPr>
              <w:t xml:space="preserve"> (</w:t>
            </w:r>
            <w:r w:rsidR="009B77E6">
              <w:rPr>
                <w:rFonts w:ascii="Arial" w:hAnsi="Arial" w:cs="Arial"/>
                <w:b/>
                <w:sz w:val="24"/>
                <w:szCs w:val="24"/>
              </w:rPr>
              <w:t>6</w:t>
            </w:r>
            <w:r w:rsidR="00BA57A4">
              <w:rPr>
                <w:rFonts w:ascii="Arial" w:hAnsi="Arial" w:cs="Arial"/>
                <w:b/>
                <w:sz w:val="24"/>
                <w:szCs w:val="24"/>
              </w:rPr>
              <w:t>4</w:t>
            </w:r>
            <w:r>
              <w:rPr>
                <w:rFonts w:ascii="Arial" w:hAnsi="Arial" w:cs="Arial"/>
                <w:b/>
                <w:sz w:val="24"/>
                <w:szCs w:val="24"/>
              </w:rPr>
              <w:t>)</w:t>
            </w:r>
          </w:p>
        </w:tc>
      </w:tr>
      <w:tr w:rsidR="006C7B35" w:rsidTr="006C7B35">
        <w:tc>
          <w:tcPr>
            <w:tcW w:w="1038" w:type="dxa"/>
          </w:tcPr>
          <w:p w:rsidR="006C7B35" w:rsidRDefault="006C7B35" w:rsidP="006C7B35">
            <w:pPr>
              <w:jc w:val="center"/>
              <w:rPr>
                <w:rFonts w:ascii="Arial" w:hAnsi="Arial" w:cs="Arial"/>
                <w:sz w:val="24"/>
                <w:szCs w:val="24"/>
              </w:rPr>
            </w:pPr>
            <w:r>
              <w:rPr>
                <w:rFonts w:ascii="Arial" w:hAnsi="Arial" w:cs="Arial"/>
                <w:sz w:val="24"/>
                <w:szCs w:val="24"/>
              </w:rPr>
              <w:t>Male</w:t>
            </w:r>
          </w:p>
        </w:tc>
        <w:tc>
          <w:tcPr>
            <w:tcW w:w="1039" w:type="dxa"/>
          </w:tcPr>
          <w:p w:rsidR="006C7B35" w:rsidRDefault="004D524E" w:rsidP="006C7B35">
            <w:pPr>
              <w:jc w:val="center"/>
              <w:rPr>
                <w:rFonts w:ascii="Arial" w:hAnsi="Arial" w:cs="Arial"/>
                <w:sz w:val="24"/>
                <w:szCs w:val="24"/>
              </w:rPr>
            </w:pPr>
            <w:r>
              <w:rPr>
                <w:rFonts w:ascii="Arial" w:hAnsi="Arial" w:cs="Arial"/>
                <w:sz w:val="24"/>
                <w:szCs w:val="24"/>
              </w:rPr>
              <w:t>1</w:t>
            </w:r>
            <w:r w:rsidR="000737A3">
              <w:rPr>
                <w:rFonts w:ascii="Arial" w:hAnsi="Arial" w:cs="Arial"/>
                <w:sz w:val="24"/>
                <w:szCs w:val="24"/>
              </w:rPr>
              <w:t>7</w:t>
            </w:r>
          </w:p>
        </w:tc>
        <w:tc>
          <w:tcPr>
            <w:tcW w:w="1039" w:type="dxa"/>
          </w:tcPr>
          <w:p w:rsidR="006C7B35" w:rsidRDefault="006C7B35" w:rsidP="006C7B35">
            <w:pPr>
              <w:jc w:val="center"/>
              <w:rPr>
                <w:rFonts w:ascii="Arial" w:hAnsi="Arial" w:cs="Arial"/>
                <w:sz w:val="24"/>
                <w:szCs w:val="24"/>
              </w:rPr>
            </w:pPr>
            <w:r>
              <w:rPr>
                <w:rFonts w:ascii="Arial" w:hAnsi="Arial" w:cs="Arial"/>
                <w:sz w:val="24"/>
                <w:szCs w:val="24"/>
              </w:rPr>
              <w:t>2</w:t>
            </w:r>
            <w:r w:rsidR="000737A3">
              <w:rPr>
                <w:rFonts w:ascii="Arial" w:hAnsi="Arial" w:cs="Arial"/>
                <w:sz w:val="24"/>
                <w:szCs w:val="24"/>
              </w:rPr>
              <w:t>6.15</w:t>
            </w:r>
            <w:r>
              <w:rPr>
                <w:rFonts w:ascii="Arial" w:hAnsi="Arial" w:cs="Arial"/>
                <w:sz w:val="24"/>
                <w:szCs w:val="24"/>
              </w:rPr>
              <w:t>%</w:t>
            </w:r>
          </w:p>
        </w:tc>
        <w:tc>
          <w:tcPr>
            <w:tcW w:w="1039" w:type="dxa"/>
          </w:tcPr>
          <w:p w:rsidR="006C7B35" w:rsidRDefault="000737A3" w:rsidP="006C7B35">
            <w:pPr>
              <w:jc w:val="center"/>
              <w:rPr>
                <w:rFonts w:ascii="Arial" w:hAnsi="Arial" w:cs="Arial"/>
                <w:sz w:val="24"/>
                <w:szCs w:val="24"/>
              </w:rPr>
            </w:pPr>
            <w:r>
              <w:rPr>
                <w:rFonts w:ascii="Arial" w:hAnsi="Arial" w:cs="Arial"/>
                <w:sz w:val="24"/>
                <w:szCs w:val="24"/>
              </w:rPr>
              <w:t>21</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3</w:t>
            </w:r>
            <w:r w:rsidR="000737A3">
              <w:rPr>
                <w:rFonts w:ascii="Arial" w:hAnsi="Arial" w:cs="Arial"/>
                <w:sz w:val="24"/>
                <w:szCs w:val="24"/>
              </w:rPr>
              <w:t>2.81</w:t>
            </w:r>
            <w:r w:rsidR="006C7B35">
              <w:rPr>
                <w:rFonts w:ascii="Arial" w:hAnsi="Arial" w:cs="Arial"/>
                <w:sz w:val="24"/>
                <w:szCs w:val="24"/>
              </w:rPr>
              <w:t>%</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2</w:t>
            </w:r>
            <w:r w:rsidR="000737A3">
              <w:rPr>
                <w:rFonts w:ascii="Arial" w:hAnsi="Arial" w:cs="Arial"/>
                <w:sz w:val="24"/>
                <w:szCs w:val="24"/>
              </w:rPr>
              <w:t>3</w:t>
            </w:r>
          </w:p>
        </w:tc>
        <w:tc>
          <w:tcPr>
            <w:tcW w:w="1039" w:type="dxa"/>
          </w:tcPr>
          <w:p w:rsidR="006C7B35" w:rsidRDefault="006C7B35" w:rsidP="006C7B35">
            <w:pPr>
              <w:jc w:val="center"/>
              <w:rPr>
                <w:rFonts w:ascii="Arial" w:hAnsi="Arial" w:cs="Arial"/>
                <w:sz w:val="24"/>
                <w:szCs w:val="24"/>
              </w:rPr>
            </w:pPr>
            <w:r>
              <w:rPr>
                <w:rFonts w:ascii="Arial" w:hAnsi="Arial" w:cs="Arial"/>
                <w:sz w:val="24"/>
                <w:szCs w:val="24"/>
              </w:rPr>
              <w:t>3</w:t>
            </w:r>
            <w:r w:rsidR="0032466B">
              <w:rPr>
                <w:rFonts w:ascii="Arial" w:hAnsi="Arial" w:cs="Arial"/>
                <w:sz w:val="24"/>
                <w:szCs w:val="24"/>
              </w:rPr>
              <w:t>5</w:t>
            </w:r>
            <w:r w:rsidR="000737A3">
              <w:rPr>
                <w:rFonts w:ascii="Arial" w:hAnsi="Arial" w:cs="Arial"/>
                <w:sz w:val="24"/>
                <w:szCs w:val="24"/>
              </w:rPr>
              <w:t>.93</w:t>
            </w:r>
            <w:r>
              <w:rPr>
                <w:rFonts w:ascii="Arial" w:hAnsi="Arial" w:cs="Arial"/>
                <w:sz w:val="24"/>
                <w:szCs w:val="24"/>
              </w:rPr>
              <w:t>%</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2</w:t>
            </w:r>
            <w:r w:rsidR="000737A3">
              <w:rPr>
                <w:rFonts w:ascii="Arial" w:hAnsi="Arial" w:cs="Arial"/>
                <w:sz w:val="24"/>
                <w:szCs w:val="24"/>
              </w:rPr>
              <w:t>8</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4</w:t>
            </w:r>
            <w:r w:rsidR="000737A3">
              <w:rPr>
                <w:rFonts w:ascii="Arial" w:hAnsi="Arial" w:cs="Arial"/>
                <w:sz w:val="24"/>
                <w:szCs w:val="24"/>
              </w:rPr>
              <w:t>3.75</w:t>
            </w:r>
            <w:r w:rsidR="006C7B35">
              <w:rPr>
                <w:rFonts w:ascii="Arial" w:hAnsi="Arial" w:cs="Arial"/>
                <w:sz w:val="24"/>
                <w:szCs w:val="24"/>
              </w:rPr>
              <w:t>%</w:t>
            </w:r>
          </w:p>
        </w:tc>
      </w:tr>
      <w:tr w:rsidR="006C7B35" w:rsidTr="006C7B35">
        <w:tc>
          <w:tcPr>
            <w:tcW w:w="1038" w:type="dxa"/>
          </w:tcPr>
          <w:p w:rsidR="006C7B35" w:rsidRDefault="006C7B35" w:rsidP="006C7B35">
            <w:pPr>
              <w:jc w:val="center"/>
              <w:rPr>
                <w:rFonts w:ascii="Arial" w:hAnsi="Arial" w:cs="Arial"/>
                <w:sz w:val="24"/>
                <w:szCs w:val="24"/>
              </w:rPr>
            </w:pPr>
            <w:r>
              <w:rPr>
                <w:rFonts w:ascii="Arial" w:hAnsi="Arial" w:cs="Arial"/>
                <w:sz w:val="24"/>
                <w:szCs w:val="24"/>
              </w:rPr>
              <w:t>Female</w:t>
            </w:r>
          </w:p>
        </w:tc>
        <w:tc>
          <w:tcPr>
            <w:tcW w:w="1039" w:type="dxa"/>
          </w:tcPr>
          <w:p w:rsidR="006C7B35" w:rsidRDefault="006C7B35" w:rsidP="006C7B35">
            <w:pPr>
              <w:jc w:val="center"/>
              <w:rPr>
                <w:rFonts w:ascii="Arial" w:hAnsi="Arial" w:cs="Arial"/>
                <w:sz w:val="24"/>
                <w:szCs w:val="24"/>
              </w:rPr>
            </w:pPr>
            <w:r>
              <w:rPr>
                <w:rFonts w:ascii="Arial" w:hAnsi="Arial" w:cs="Arial"/>
                <w:sz w:val="24"/>
                <w:szCs w:val="24"/>
              </w:rPr>
              <w:t>4</w:t>
            </w:r>
            <w:r w:rsidR="000737A3">
              <w:rPr>
                <w:rFonts w:ascii="Arial" w:hAnsi="Arial" w:cs="Arial"/>
                <w:sz w:val="24"/>
                <w:szCs w:val="24"/>
              </w:rPr>
              <w:t>8</w:t>
            </w:r>
          </w:p>
        </w:tc>
        <w:tc>
          <w:tcPr>
            <w:tcW w:w="1039" w:type="dxa"/>
          </w:tcPr>
          <w:p w:rsidR="006C7B35" w:rsidRDefault="006C7B35" w:rsidP="006C7B35">
            <w:pPr>
              <w:jc w:val="center"/>
              <w:rPr>
                <w:rFonts w:ascii="Arial" w:hAnsi="Arial" w:cs="Arial"/>
                <w:sz w:val="24"/>
                <w:szCs w:val="24"/>
              </w:rPr>
            </w:pPr>
            <w:r>
              <w:rPr>
                <w:rFonts w:ascii="Arial" w:hAnsi="Arial" w:cs="Arial"/>
                <w:sz w:val="24"/>
                <w:szCs w:val="24"/>
              </w:rPr>
              <w:t>7</w:t>
            </w:r>
            <w:r w:rsidR="000737A3">
              <w:rPr>
                <w:rFonts w:ascii="Arial" w:hAnsi="Arial" w:cs="Arial"/>
                <w:sz w:val="24"/>
                <w:szCs w:val="24"/>
              </w:rPr>
              <w:t>3.84</w:t>
            </w:r>
            <w:r>
              <w:rPr>
                <w:rFonts w:ascii="Arial" w:hAnsi="Arial" w:cs="Arial"/>
                <w:sz w:val="24"/>
                <w:szCs w:val="24"/>
              </w:rPr>
              <w:t>%</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4</w:t>
            </w:r>
            <w:r w:rsidR="000737A3">
              <w:rPr>
                <w:rFonts w:ascii="Arial" w:hAnsi="Arial" w:cs="Arial"/>
                <w:sz w:val="24"/>
                <w:szCs w:val="24"/>
              </w:rPr>
              <w:t>3</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6</w:t>
            </w:r>
            <w:r w:rsidR="000737A3">
              <w:rPr>
                <w:rFonts w:ascii="Arial" w:hAnsi="Arial" w:cs="Arial"/>
                <w:sz w:val="24"/>
                <w:szCs w:val="24"/>
              </w:rPr>
              <w:t>7.18</w:t>
            </w:r>
            <w:r w:rsidR="006C7B35">
              <w:rPr>
                <w:rFonts w:ascii="Arial" w:hAnsi="Arial" w:cs="Arial"/>
                <w:sz w:val="24"/>
                <w:szCs w:val="24"/>
              </w:rPr>
              <w:t>%</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41</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6</w:t>
            </w:r>
            <w:r w:rsidR="000737A3">
              <w:rPr>
                <w:rFonts w:ascii="Arial" w:hAnsi="Arial" w:cs="Arial"/>
                <w:sz w:val="24"/>
                <w:szCs w:val="24"/>
              </w:rPr>
              <w:t>4.06</w:t>
            </w:r>
            <w:r w:rsidR="006C7B35">
              <w:rPr>
                <w:rFonts w:ascii="Arial" w:hAnsi="Arial" w:cs="Arial"/>
                <w:sz w:val="24"/>
                <w:szCs w:val="24"/>
              </w:rPr>
              <w:t>%</w:t>
            </w:r>
          </w:p>
        </w:tc>
        <w:tc>
          <w:tcPr>
            <w:tcW w:w="1039" w:type="dxa"/>
          </w:tcPr>
          <w:p w:rsidR="006C7B35" w:rsidRDefault="000737A3" w:rsidP="006C7B35">
            <w:pPr>
              <w:jc w:val="center"/>
              <w:rPr>
                <w:rFonts w:ascii="Arial" w:hAnsi="Arial" w:cs="Arial"/>
                <w:sz w:val="24"/>
                <w:szCs w:val="24"/>
              </w:rPr>
            </w:pPr>
            <w:r>
              <w:rPr>
                <w:rFonts w:ascii="Arial" w:hAnsi="Arial" w:cs="Arial"/>
                <w:sz w:val="24"/>
                <w:szCs w:val="24"/>
              </w:rPr>
              <w:t>36</w:t>
            </w:r>
          </w:p>
        </w:tc>
        <w:tc>
          <w:tcPr>
            <w:tcW w:w="1039" w:type="dxa"/>
          </w:tcPr>
          <w:p w:rsidR="006C7B35" w:rsidRDefault="0032466B" w:rsidP="006C7B35">
            <w:pPr>
              <w:jc w:val="center"/>
              <w:rPr>
                <w:rFonts w:ascii="Arial" w:hAnsi="Arial" w:cs="Arial"/>
                <w:sz w:val="24"/>
                <w:szCs w:val="24"/>
              </w:rPr>
            </w:pPr>
            <w:r>
              <w:rPr>
                <w:rFonts w:ascii="Arial" w:hAnsi="Arial" w:cs="Arial"/>
                <w:sz w:val="24"/>
                <w:szCs w:val="24"/>
              </w:rPr>
              <w:t>5</w:t>
            </w:r>
            <w:r w:rsidR="00BA57A4">
              <w:rPr>
                <w:rFonts w:ascii="Arial" w:hAnsi="Arial" w:cs="Arial"/>
                <w:sz w:val="24"/>
                <w:szCs w:val="24"/>
              </w:rPr>
              <w:t>6.25</w:t>
            </w:r>
            <w:r w:rsidR="006C7B35">
              <w:rPr>
                <w:rFonts w:ascii="Arial" w:hAnsi="Arial" w:cs="Arial"/>
                <w:sz w:val="24"/>
                <w:szCs w:val="24"/>
              </w:rPr>
              <w:t>%</w:t>
            </w:r>
          </w:p>
        </w:tc>
      </w:tr>
    </w:tbl>
    <w:p w:rsidR="006C7B35" w:rsidRDefault="006C7B35" w:rsidP="002F34E0">
      <w:pPr>
        <w:spacing w:after="0" w:line="240" w:lineRule="auto"/>
        <w:rPr>
          <w:rFonts w:ascii="Arial" w:hAnsi="Arial" w:cs="Arial"/>
          <w:sz w:val="24"/>
          <w:szCs w:val="24"/>
        </w:rPr>
      </w:pPr>
    </w:p>
    <w:p w:rsidR="00A3424C" w:rsidRDefault="007343BF" w:rsidP="002F34E0">
      <w:pPr>
        <w:spacing w:after="0" w:line="240" w:lineRule="auto"/>
        <w:rPr>
          <w:rFonts w:ascii="Arial" w:hAnsi="Arial" w:cs="Arial"/>
          <w:b/>
          <w:sz w:val="24"/>
          <w:szCs w:val="24"/>
        </w:rPr>
      </w:pPr>
      <w:r>
        <w:rPr>
          <w:rFonts w:ascii="Arial" w:hAnsi="Arial" w:cs="Arial"/>
          <w:b/>
          <w:sz w:val="24"/>
          <w:szCs w:val="24"/>
        </w:rPr>
        <w:t>Bonus breakdown</w:t>
      </w:r>
    </w:p>
    <w:p w:rsidR="00C14CBA" w:rsidRDefault="00C14CBA" w:rsidP="002F34E0">
      <w:pPr>
        <w:spacing w:after="0" w:line="240" w:lineRule="auto"/>
        <w:rPr>
          <w:rFonts w:ascii="Arial" w:hAnsi="Arial" w:cs="Arial"/>
          <w:b/>
          <w:sz w:val="24"/>
          <w:szCs w:val="24"/>
        </w:rPr>
      </w:pPr>
    </w:p>
    <w:p w:rsidR="00C14CBA" w:rsidRPr="00C3050C" w:rsidRDefault="008E0FA6" w:rsidP="002F34E0">
      <w:pPr>
        <w:spacing w:after="0" w:line="240" w:lineRule="auto"/>
        <w:rPr>
          <w:rFonts w:ascii="Arial" w:hAnsi="Arial" w:cs="Arial"/>
          <w:sz w:val="24"/>
          <w:szCs w:val="24"/>
        </w:rPr>
      </w:pPr>
      <w:r>
        <w:rPr>
          <w:rFonts w:ascii="Arial" w:hAnsi="Arial" w:cs="Arial"/>
          <w:sz w:val="24"/>
          <w:szCs w:val="24"/>
        </w:rPr>
        <w:t>Although 100% of men and women who were eligible for a bonus received it, 32.58% of men received a bonus out of all the male staff and 3</w:t>
      </w:r>
      <w:r w:rsidR="00323E58">
        <w:rPr>
          <w:rFonts w:ascii="Arial" w:hAnsi="Arial" w:cs="Arial"/>
          <w:sz w:val="24"/>
          <w:szCs w:val="24"/>
        </w:rPr>
        <w:t>8.09</w:t>
      </w:r>
      <w:r>
        <w:rPr>
          <w:rFonts w:ascii="Arial" w:hAnsi="Arial" w:cs="Arial"/>
          <w:sz w:val="24"/>
          <w:szCs w:val="24"/>
        </w:rPr>
        <w:t xml:space="preserve">% of women received a bonus out of all the female staff. </w:t>
      </w:r>
      <w:r w:rsidR="00C14CBA" w:rsidRPr="00C3050C">
        <w:rPr>
          <w:rFonts w:ascii="Arial" w:hAnsi="Arial" w:cs="Arial"/>
          <w:sz w:val="24"/>
          <w:szCs w:val="24"/>
        </w:rPr>
        <w:t xml:space="preserve">The Blackpool Sixth Form College has a </w:t>
      </w:r>
      <w:r w:rsidR="002F49F1">
        <w:rPr>
          <w:rFonts w:ascii="Arial" w:hAnsi="Arial" w:cs="Arial"/>
          <w:sz w:val="24"/>
          <w:szCs w:val="24"/>
        </w:rPr>
        <w:t>-32.32</w:t>
      </w:r>
      <w:r w:rsidR="00C3050C" w:rsidRPr="00C3050C">
        <w:rPr>
          <w:rFonts w:ascii="Arial" w:hAnsi="Arial" w:cs="Arial"/>
          <w:sz w:val="24"/>
          <w:szCs w:val="24"/>
        </w:rPr>
        <w:t>%</w:t>
      </w:r>
      <w:r w:rsidR="00C14CBA" w:rsidRPr="00C3050C">
        <w:rPr>
          <w:rFonts w:ascii="Arial" w:hAnsi="Arial" w:cs="Arial"/>
          <w:sz w:val="24"/>
          <w:szCs w:val="24"/>
        </w:rPr>
        <w:t xml:space="preserve"> mean gender pay gap using bonus pay. The Blackpool Sixth Form College has a </w:t>
      </w:r>
      <w:r w:rsidR="00C3050C" w:rsidRPr="00C3050C">
        <w:rPr>
          <w:rFonts w:ascii="Arial" w:hAnsi="Arial" w:cs="Arial"/>
          <w:sz w:val="24"/>
          <w:szCs w:val="24"/>
        </w:rPr>
        <w:t>6.52</w:t>
      </w:r>
      <w:r w:rsidR="00E85EFE" w:rsidRPr="00C3050C">
        <w:rPr>
          <w:rFonts w:ascii="Arial" w:hAnsi="Arial" w:cs="Arial"/>
          <w:sz w:val="24"/>
          <w:szCs w:val="24"/>
        </w:rPr>
        <w:t>%</w:t>
      </w:r>
      <w:r w:rsidR="00C14CBA" w:rsidRPr="00C3050C">
        <w:rPr>
          <w:rFonts w:ascii="Arial" w:hAnsi="Arial" w:cs="Arial"/>
          <w:sz w:val="24"/>
          <w:szCs w:val="24"/>
        </w:rPr>
        <w:t xml:space="preserve"> me</w:t>
      </w:r>
      <w:r w:rsidR="00E85EFE" w:rsidRPr="00C3050C">
        <w:rPr>
          <w:rFonts w:ascii="Arial" w:hAnsi="Arial" w:cs="Arial"/>
          <w:sz w:val="24"/>
          <w:szCs w:val="24"/>
        </w:rPr>
        <w:t xml:space="preserve">dian </w:t>
      </w:r>
      <w:r w:rsidR="00C14CBA" w:rsidRPr="00C3050C">
        <w:rPr>
          <w:rFonts w:ascii="Arial" w:hAnsi="Arial" w:cs="Arial"/>
          <w:sz w:val="24"/>
          <w:szCs w:val="24"/>
        </w:rPr>
        <w:t>gender pay gap using bonus pay.</w:t>
      </w:r>
    </w:p>
    <w:p w:rsidR="006C7B35" w:rsidRDefault="006C7B35" w:rsidP="002F34E0">
      <w:pPr>
        <w:spacing w:after="0" w:line="240" w:lineRule="auto"/>
        <w:rPr>
          <w:rFonts w:ascii="Arial" w:hAnsi="Arial" w:cs="Arial"/>
          <w:sz w:val="24"/>
          <w:szCs w:val="24"/>
        </w:rPr>
      </w:pPr>
    </w:p>
    <w:p w:rsidR="00496A1A" w:rsidRPr="00496A1A" w:rsidRDefault="00496A1A" w:rsidP="002F34E0">
      <w:pPr>
        <w:spacing w:after="0" w:line="240" w:lineRule="auto"/>
        <w:rPr>
          <w:rFonts w:ascii="Arial" w:hAnsi="Arial" w:cs="Arial"/>
          <w:b/>
          <w:sz w:val="24"/>
          <w:szCs w:val="24"/>
        </w:rPr>
      </w:pPr>
      <w:r w:rsidRPr="00496A1A">
        <w:rPr>
          <w:rFonts w:ascii="Arial" w:hAnsi="Arial" w:cs="Arial"/>
          <w:b/>
          <w:sz w:val="24"/>
          <w:szCs w:val="24"/>
        </w:rPr>
        <w:t>Comments</w:t>
      </w:r>
    </w:p>
    <w:p w:rsidR="00496A1A" w:rsidRPr="00C3050C" w:rsidRDefault="00496A1A" w:rsidP="002F34E0">
      <w:pPr>
        <w:spacing w:after="0" w:line="240" w:lineRule="auto"/>
        <w:rPr>
          <w:rFonts w:ascii="Arial" w:hAnsi="Arial" w:cs="Arial"/>
          <w:sz w:val="24"/>
          <w:szCs w:val="24"/>
        </w:rPr>
      </w:pPr>
    </w:p>
    <w:p w:rsidR="006C7B35" w:rsidRPr="00C3050C" w:rsidRDefault="00496A1A" w:rsidP="002F34E0">
      <w:pPr>
        <w:spacing w:after="0" w:line="240" w:lineRule="auto"/>
        <w:rPr>
          <w:rFonts w:ascii="Arial" w:hAnsi="Arial" w:cs="Arial"/>
          <w:sz w:val="24"/>
          <w:szCs w:val="24"/>
        </w:rPr>
      </w:pPr>
      <w:r w:rsidRPr="00C3050C">
        <w:rPr>
          <w:rFonts w:ascii="Arial" w:hAnsi="Arial" w:cs="Arial"/>
          <w:sz w:val="24"/>
          <w:szCs w:val="24"/>
        </w:rPr>
        <w:t xml:space="preserve">The Blackpool Sixth Form College works within the parameters of the Sixth Form Colleges </w:t>
      </w:r>
      <w:r w:rsidR="00577510" w:rsidRPr="00C3050C">
        <w:rPr>
          <w:rFonts w:ascii="Arial" w:hAnsi="Arial" w:cs="Arial"/>
          <w:sz w:val="24"/>
          <w:szCs w:val="24"/>
        </w:rPr>
        <w:t>(SFC) pay s</w:t>
      </w:r>
      <w:r w:rsidRPr="00C3050C">
        <w:rPr>
          <w:rFonts w:ascii="Arial" w:hAnsi="Arial" w:cs="Arial"/>
          <w:sz w:val="24"/>
          <w:szCs w:val="24"/>
        </w:rPr>
        <w:t>cales. New teaching staff are employed at the rate relevant to their years tea</w:t>
      </w:r>
      <w:r w:rsidR="002A1019" w:rsidRPr="00C3050C">
        <w:rPr>
          <w:rFonts w:ascii="Arial" w:hAnsi="Arial" w:cs="Arial"/>
          <w:sz w:val="24"/>
          <w:szCs w:val="24"/>
        </w:rPr>
        <w:t xml:space="preserve">ching and new support staff are </w:t>
      </w:r>
      <w:r w:rsidRPr="00C3050C">
        <w:rPr>
          <w:rFonts w:ascii="Arial" w:hAnsi="Arial" w:cs="Arial"/>
          <w:sz w:val="24"/>
          <w:szCs w:val="24"/>
        </w:rPr>
        <w:t xml:space="preserve">employed on a rate </w:t>
      </w:r>
      <w:r w:rsidR="00577510" w:rsidRPr="00C3050C">
        <w:rPr>
          <w:rFonts w:ascii="Arial" w:hAnsi="Arial" w:cs="Arial"/>
          <w:sz w:val="24"/>
          <w:szCs w:val="24"/>
        </w:rPr>
        <w:t>(within the SFC</w:t>
      </w:r>
      <w:r w:rsidR="002A1019" w:rsidRPr="00C3050C">
        <w:rPr>
          <w:rFonts w:ascii="Arial" w:hAnsi="Arial" w:cs="Arial"/>
          <w:sz w:val="24"/>
          <w:szCs w:val="24"/>
        </w:rPr>
        <w:t xml:space="preserve"> pay scales) </w:t>
      </w:r>
      <w:r w:rsidRPr="00C3050C">
        <w:rPr>
          <w:rFonts w:ascii="Arial" w:hAnsi="Arial" w:cs="Arial"/>
          <w:sz w:val="24"/>
          <w:szCs w:val="24"/>
        </w:rPr>
        <w:t>applicable to the</w:t>
      </w:r>
      <w:r w:rsidR="00577510" w:rsidRPr="00C3050C">
        <w:rPr>
          <w:rFonts w:ascii="Arial" w:hAnsi="Arial" w:cs="Arial"/>
          <w:sz w:val="24"/>
          <w:szCs w:val="24"/>
        </w:rPr>
        <w:t>ir</w:t>
      </w:r>
      <w:r w:rsidRPr="00C3050C">
        <w:rPr>
          <w:rFonts w:ascii="Arial" w:hAnsi="Arial" w:cs="Arial"/>
          <w:sz w:val="24"/>
          <w:szCs w:val="24"/>
        </w:rPr>
        <w:t xml:space="preserve"> role and any relevant experience</w:t>
      </w:r>
      <w:r w:rsidR="002A1019" w:rsidRPr="00C3050C">
        <w:rPr>
          <w:rFonts w:ascii="Arial" w:hAnsi="Arial" w:cs="Arial"/>
          <w:sz w:val="24"/>
          <w:szCs w:val="24"/>
        </w:rPr>
        <w:t>.</w:t>
      </w:r>
    </w:p>
    <w:sectPr w:rsidR="006C7B35" w:rsidRPr="00C3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0"/>
    <w:rsid w:val="0001009E"/>
    <w:rsid w:val="000737A3"/>
    <w:rsid w:val="000F169D"/>
    <w:rsid w:val="001A7BC0"/>
    <w:rsid w:val="00231BD0"/>
    <w:rsid w:val="002A1019"/>
    <w:rsid w:val="002E4446"/>
    <w:rsid w:val="002F34E0"/>
    <w:rsid w:val="002F49F1"/>
    <w:rsid w:val="00323E58"/>
    <w:rsid w:val="0032466B"/>
    <w:rsid w:val="00496A1A"/>
    <w:rsid w:val="004D524E"/>
    <w:rsid w:val="00504B9C"/>
    <w:rsid w:val="00560458"/>
    <w:rsid w:val="00577510"/>
    <w:rsid w:val="006529D6"/>
    <w:rsid w:val="006C7B35"/>
    <w:rsid w:val="007343BF"/>
    <w:rsid w:val="00843769"/>
    <w:rsid w:val="008E0FA6"/>
    <w:rsid w:val="00935F99"/>
    <w:rsid w:val="0094731B"/>
    <w:rsid w:val="009A15B7"/>
    <w:rsid w:val="009B77E6"/>
    <w:rsid w:val="00A14295"/>
    <w:rsid w:val="00A3424C"/>
    <w:rsid w:val="00BA57A4"/>
    <w:rsid w:val="00BC39BD"/>
    <w:rsid w:val="00C14CBA"/>
    <w:rsid w:val="00C3050C"/>
    <w:rsid w:val="00CA339D"/>
    <w:rsid w:val="00E30A98"/>
    <w:rsid w:val="00E85EFE"/>
    <w:rsid w:val="00EB326A"/>
    <w:rsid w:val="00ED4197"/>
    <w:rsid w:val="00EE65F5"/>
    <w:rsid w:val="00FA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BD0A"/>
  <w15:chartTrackingRefBased/>
  <w15:docId w15:val="{6BD7F47F-A5DD-4E01-AC44-F7F506B2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5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52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60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277">
      <w:bodyDiv w:val="1"/>
      <w:marLeft w:val="0"/>
      <w:marRight w:val="0"/>
      <w:marTop w:val="0"/>
      <w:marBottom w:val="0"/>
      <w:divBdr>
        <w:top w:val="none" w:sz="0" w:space="0" w:color="auto"/>
        <w:left w:val="none" w:sz="0" w:space="0" w:color="auto"/>
        <w:bottom w:val="none" w:sz="0" w:space="0" w:color="auto"/>
        <w:right w:val="none" w:sz="0" w:space="0" w:color="auto"/>
      </w:divBdr>
    </w:div>
    <w:div w:id="618611977">
      <w:bodyDiv w:val="1"/>
      <w:marLeft w:val="0"/>
      <w:marRight w:val="0"/>
      <w:marTop w:val="0"/>
      <w:marBottom w:val="0"/>
      <w:divBdr>
        <w:top w:val="none" w:sz="0" w:space="0" w:color="auto"/>
        <w:left w:val="none" w:sz="0" w:space="0" w:color="auto"/>
        <w:bottom w:val="none" w:sz="0" w:space="0" w:color="auto"/>
        <w:right w:val="none" w:sz="0" w:space="0" w:color="auto"/>
      </w:divBdr>
    </w:div>
    <w:div w:id="19027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Crumblehulme</dc:creator>
  <cp:keywords/>
  <dc:description/>
  <cp:lastModifiedBy>Annmaria.John</cp:lastModifiedBy>
  <cp:revision>24</cp:revision>
  <dcterms:created xsi:type="dcterms:W3CDTF">2018-02-23T11:49:00Z</dcterms:created>
  <dcterms:modified xsi:type="dcterms:W3CDTF">2023-11-09T15:44:00Z</dcterms:modified>
</cp:coreProperties>
</file>